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8B" w:rsidRDefault="00F01B8B" w:rsidP="00F01B8B">
      <w:pPr>
        <w:pStyle w:val="NoSpacing"/>
        <w:jc w:val="center"/>
        <w:rPr>
          <w:rFonts w:cs="Times New Roman"/>
          <w:b/>
          <w:bCs/>
          <w:color w:val="323E4F" w:themeColor="text2" w:themeShade="BF"/>
          <w:sz w:val="36"/>
          <w:szCs w:val="36"/>
        </w:rPr>
      </w:pPr>
      <w:r>
        <w:rPr>
          <w:rFonts w:ascii="Times New Roman" w:hAnsi="Times New Roman" w:cs="Times New Roman"/>
          <w:b/>
          <w:bCs/>
          <w:color w:val="323E4F" w:themeColor="text2" w:themeShade="BF"/>
          <w:sz w:val="36"/>
          <w:szCs w:val="36"/>
        </w:rPr>
        <w:t xml:space="preserve">Module 4 - </w:t>
      </w:r>
      <w:r w:rsidRPr="00390D99">
        <w:rPr>
          <w:rFonts w:cs="Times New Roman"/>
          <w:b/>
          <w:bCs/>
          <w:color w:val="323E4F" w:themeColor="text2" w:themeShade="BF"/>
          <w:sz w:val="36"/>
          <w:szCs w:val="36"/>
        </w:rPr>
        <w:t>Scoring an Individual SLO</w:t>
      </w:r>
    </w:p>
    <w:p w:rsidR="00F01B8B" w:rsidRPr="008533AB" w:rsidRDefault="00F01B8B" w:rsidP="00F01B8B">
      <w:pPr>
        <w:tabs>
          <w:tab w:val="left" w:pos="270"/>
        </w:tabs>
        <w:spacing w:before="120"/>
        <w:rPr>
          <w:rFonts w:cs="Times New Roman"/>
          <w:szCs w:val="24"/>
        </w:rPr>
      </w:pPr>
    </w:p>
    <w:tbl>
      <w:tblPr>
        <w:tblStyle w:val="TableGrid"/>
        <w:tblW w:w="10548" w:type="dxa"/>
        <w:tblLayout w:type="fixed"/>
        <w:tblLook w:val="04A0" w:firstRow="1" w:lastRow="0" w:firstColumn="1" w:lastColumn="0" w:noHBand="0" w:noVBand="1"/>
      </w:tblPr>
      <w:tblGrid>
        <w:gridCol w:w="5418"/>
        <w:gridCol w:w="5130"/>
      </w:tblGrid>
      <w:tr w:rsidR="00F01B8B" w:rsidRPr="00BA410A" w:rsidTr="00794EFF">
        <w:trPr>
          <w:trHeight w:val="3320"/>
        </w:trPr>
        <w:tc>
          <w:tcPr>
            <w:tcW w:w="5418" w:type="dxa"/>
          </w:tcPr>
          <w:p w:rsidR="00F01B8B" w:rsidRPr="00BA410A" w:rsidRDefault="00F01B8B" w:rsidP="00794EFF">
            <w:pPr>
              <w:rPr>
                <w:rFonts w:cs="Times New Roman"/>
                <w:b/>
                <w:color w:val="323E4F" w:themeColor="text2" w:themeShade="BF"/>
              </w:rPr>
            </w:pPr>
            <w:r w:rsidRPr="00BA410A">
              <w:rPr>
                <w:rFonts w:cs="Times New Roman"/>
                <w:b/>
                <w:color w:val="323E4F" w:themeColor="text2" w:themeShade="BF"/>
              </w:rPr>
              <w:t>Slide 1</w:t>
            </w:r>
          </w:p>
          <w:p w:rsidR="00F01B8B" w:rsidRPr="00BA410A" w:rsidRDefault="00F01B8B" w:rsidP="00794EFF">
            <w:pPr>
              <w:rPr>
                <w:rFonts w:cs="Times New Roman"/>
                <w:i/>
              </w:rPr>
            </w:pPr>
          </w:p>
        </w:tc>
        <w:tc>
          <w:tcPr>
            <w:tcW w:w="5130" w:type="dxa"/>
          </w:tcPr>
          <w:p w:rsidR="00F01B8B" w:rsidRPr="00BA410A" w:rsidRDefault="00F01B8B" w:rsidP="00794EFF">
            <w:pPr>
              <w:rPr>
                <w:rFonts w:cs="Times New Roman"/>
              </w:rPr>
            </w:pPr>
            <w:r w:rsidRPr="00860433">
              <w:rPr>
                <w:rFonts w:cs="Times New Roman"/>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84.2pt" o:ole="">
                  <v:imagedata r:id="rId5" o:title=""/>
                </v:shape>
                <o:OLEObject Type="Embed" ProgID="PowerPoint.Slide.12" ShapeID="_x0000_i1025" DrawAspect="Content" ObjectID="_1474297123" r:id="rId6"/>
              </w:object>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t>Slide 5</w:t>
            </w:r>
          </w:p>
          <w:p w:rsidR="00F01B8B" w:rsidRPr="00BA410A" w:rsidRDefault="00F01B8B" w:rsidP="00794EFF">
            <w:pPr>
              <w:rPr>
                <w:rFonts w:cs="Times New Roman"/>
              </w:rPr>
            </w:pPr>
            <w:r>
              <w:rPr>
                <w:rFonts w:cs="Times New Roman"/>
              </w:rPr>
              <w:t>At this point</w:t>
            </w:r>
            <w:r w:rsidRPr="00BA410A">
              <w:rPr>
                <w:rFonts w:cs="Times New Roman"/>
              </w:rPr>
              <w:t>, the SLO has been set, reviewed, and approved, and now you are gathering and analyzing evidence of progress toward the goal, and organizing and presenting evidence of final attainment of the goal</w:t>
            </w:r>
            <w:r>
              <w:rPr>
                <w:rFonts w:cs="Times New Roman"/>
              </w:rPr>
              <w:t>.</w:t>
            </w:r>
          </w:p>
          <w:p w:rsidR="00F01B8B" w:rsidRPr="00BA410A" w:rsidRDefault="00F01B8B" w:rsidP="00794EFF">
            <w:pPr>
              <w:rPr>
                <w:rFonts w:cs="Times New Roman"/>
              </w:rPr>
            </w:pPr>
          </w:p>
        </w:tc>
        <w:tc>
          <w:tcPr>
            <w:tcW w:w="5130" w:type="dxa"/>
          </w:tcPr>
          <w:p w:rsidR="00F01B8B" w:rsidRPr="00BA410A" w:rsidRDefault="00F01B8B" w:rsidP="00794EFF">
            <w:pPr>
              <w:rPr>
                <w:rFonts w:cs="Times New Roman"/>
              </w:rPr>
            </w:pPr>
            <w:r w:rsidRPr="00860433">
              <w:rPr>
                <w:rFonts w:cs="Times New Roman"/>
              </w:rPr>
              <w:object w:dxaOrig="7183" w:dyaOrig="5399">
                <v:shape id="_x0000_i1026" type="#_x0000_t75" style="width:246pt;height:184.2pt" o:ole="">
                  <v:imagedata r:id="rId7" o:title=""/>
                </v:shape>
                <o:OLEObject Type="Embed" ProgID="PowerPoint.Slide.12" ShapeID="_x0000_i1026" DrawAspect="Content" ObjectID="_1474297124" r:id="rId8"/>
              </w:object>
            </w:r>
          </w:p>
        </w:tc>
      </w:tr>
      <w:tr w:rsidR="00F01B8B" w:rsidRPr="00BA410A" w:rsidTr="00F01B8B">
        <w:trPr>
          <w:trHeight w:val="4418"/>
        </w:trPr>
        <w:tc>
          <w:tcPr>
            <w:tcW w:w="5418" w:type="dxa"/>
          </w:tcPr>
          <w:p w:rsidR="00F01B8B" w:rsidRDefault="00F01B8B" w:rsidP="00794EFF">
            <w:pPr>
              <w:rPr>
                <w:rFonts w:cs="Times New Roman"/>
                <w:b/>
                <w:color w:val="323E4F" w:themeColor="text2" w:themeShade="BF"/>
              </w:rPr>
            </w:pPr>
            <w:r>
              <w:rPr>
                <w:rFonts w:cs="Times New Roman"/>
                <w:b/>
                <w:color w:val="323E4F" w:themeColor="text2" w:themeShade="BF"/>
              </w:rPr>
              <w:t>Slide 6</w:t>
            </w:r>
          </w:p>
          <w:p w:rsidR="00F01B8B" w:rsidRPr="00F01B8B" w:rsidRDefault="00F01B8B" w:rsidP="00794EFF">
            <w:pPr>
              <w:rPr>
                <w:rFonts w:cs="Times New Roman"/>
                <w:b/>
                <w:color w:val="323E4F" w:themeColor="text2" w:themeShade="BF"/>
              </w:rPr>
            </w:pPr>
            <w:r w:rsidRPr="00BA410A">
              <w:rPr>
                <w:rFonts w:cs="Times New Roman"/>
              </w:rPr>
              <w:t>First, let’s review the timeline in which SLO scoring will take place. Both this year and moving forward, the SLO calculation of attainment and scoring must be completed prior to the May 1 deadline. So, as we are discussing the processes of monitoring progress, gathering and presenting evidence, and scoring SLOs, this is the date to keep in mind from which we are working backwards. Also, note that ample time for committee or evaluator review, per your district’s requirements, must be built in prior to this date to ensure that the entire teacher evaluatio</w:t>
            </w:r>
            <w:r>
              <w:rPr>
                <w:rFonts w:cs="Times New Roman"/>
              </w:rPr>
              <w:t>n process is complete by May 1.</w:t>
            </w:r>
          </w:p>
          <w:p w:rsidR="00F01B8B" w:rsidRPr="00BA410A" w:rsidRDefault="00F01B8B" w:rsidP="00794EFF">
            <w:pPr>
              <w:rPr>
                <w:rFonts w:cs="Times New Roman"/>
              </w:rPr>
            </w:pPr>
          </w:p>
        </w:tc>
        <w:tc>
          <w:tcPr>
            <w:tcW w:w="5130" w:type="dxa"/>
          </w:tcPr>
          <w:p w:rsidR="00F01B8B" w:rsidRPr="00BA410A" w:rsidRDefault="00F01B8B" w:rsidP="00794EFF">
            <w:pPr>
              <w:rPr>
                <w:rFonts w:cs="Times New Roman"/>
              </w:rPr>
            </w:pPr>
            <w:r w:rsidRPr="00553A47">
              <w:rPr>
                <w:rFonts w:cs="Times New Roman"/>
                <w:noProof/>
              </w:rPr>
              <w:drawing>
                <wp:inline distT="0" distB="0" distL="0" distR="0" wp14:anchorId="553FE8EC" wp14:editId="0FD7808D">
                  <wp:extent cx="3174999" cy="23812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175443" cy="2381583"/>
                          </a:xfrm>
                          <a:prstGeom prst="rect">
                            <a:avLst/>
                          </a:prstGeom>
                        </pic:spPr>
                      </pic:pic>
                    </a:graphicData>
                  </a:graphic>
                </wp:inline>
              </w:drawing>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lastRenderedPageBreak/>
              <w:t>Slide 7</w:t>
            </w:r>
          </w:p>
          <w:p w:rsidR="00F01B8B" w:rsidRPr="00BA410A" w:rsidRDefault="00F01B8B" w:rsidP="00794EFF">
            <w:pPr>
              <w:rPr>
                <w:rFonts w:cs="Times New Roman"/>
              </w:rPr>
            </w:pPr>
            <w:r w:rsidRPr="00BA410A">
              <w:rPr>
                <w:rFonts w:cs="Times New Roman"/>
              </w:rPr>
              <w:t xml:space="preserve"> </w:t>
            </w:r>
            <w:r>
              <w:rPr>
                <w:rFonts w:cs="Times New Roman"/>
              </w:rPr>
              <w:t>T</w:t>
            </w:r>
            <w:r w:rsidRPr="00BA410A">
              <w:rPr>
                <w:rFonts w:cs="Times New Roman"/>
              </w:rPr>
              <w:t xml:space="preserve">he SLO score is </w:t>
            </w:r>
            <w:r>
              <w:rPr>
                <w:rFonts w:cs="Times New Roman"/>
              </w:rPr>
              <w:t xml:space="preserve">based on </w:t>
            </w:r>
            <w:r w:rsidRPr="00BA410A">
              <w:rPr>
                <w:rFonts w:cs="Times New Roman"/>
              </w:rPr>
              <w:t>the percentage of students that met their growth target. The percentage then falls into one of five categories: Most Effective (5), Above Average (4), Average (3), Approaching Average (2), and Least Effective (1).”</w:t>
            </w:r>
          </w:p>
          <w:p w:rsidR="00F01B8B" w:rsidRPr="00BA410A" w:rsidRDefault="00F01B8B" w:rsidP="00794EFF">
            <w:pPr>
              <w:rPr>
                <w:rFonts w:cs="Times New Roman"/>
              </w:rPr>
            </w:pPr>
            <w:r w:rsidRPr="00BA410A">
              <w:rPr>
                <w:rFonts w:cs="Times New Roman"/>
              </w:rPr>
              <w:t xml:space="preserve">These numerical ratings will then be combined with other student growth measures in the system to arrive at a final rating. </w:t>
            </w:r>
          </w:p>
          <w:p w:rsidR="00F01B8B" w:rsidRPr="00BA410A" w:rsidRDefault="00F01B8B" w:rsidP="00794EFF">
            <w:pPr>
              <w:rPr>
                <w:rFonts w:cs="Times New Roman"/>
              </w:rPr>
            </w:pPr>
          </w:p>
        </w:tc>
        <w:tc>
          <w:tcPr>
            <w:tcW w:w="5130" w:type="dxa"/>
          </w:tcPr>
          <w:p w:rsidR="00F01B8B" w:rsidRPr="00BA410A" w:rsidRDefault="00F01B8B" w:rsidP="00794EFF">
            <w:pPr>
              <w:rPr>
                <w:rFonts w:cs="Times New Roman"/>
              </w:rPr>
            </w:pPr>
            <w:r w:rsidRPr="00141A13">
              <w:rPr>
                <w:rFonts w:cs="Times New Roman"/>
              </w:rPr>
              <w:object w:dxaOrig="7183" w:dyaOrig="5399">
                <v:shape id="_x0000_i1027" type="#_x0000_t75" style="width:246pt;height:184.2pt" o:ole="">
                  <v:imagedata r:id="rId10" o:title=""/>
                </v:shape>
                <o:OLEObject Type="Embed" ProgID="PowerPoint.Slide.12" ShapeID="_x0000_i1027" DrawAspect="Content" ObjectID="_1474297125" r:id="rId11"/>
              </w:object>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t>Slide 8</w:t>
            </w:r>
          </w:p>
          <w:p w:rsidR="00F01B8B" w:rsidRPr="00BA410A" w:rsidRDefault="00F01B8B" w:rsidP="00794EFF">
            <w:pPr>
              <w:rPr>
                <w:rFonts w:cs="Times New Roman"/>
              </w:rPr>
            </w:pPr>
            <w:r w:rsidRPr="00BA410A">
              <w:rPr>
                <w:rFonts w:cs="Times New Roman"/>
              </w:rPr>
              <w:t>Consider, for example, a teacher who has 100 students in his or her SLO. If 90 of those students meet the growth target and 10 don’t quite reach it, this means 90 percent met the target, which is the threshold for the rating of Most Effective, or 5.</w:t>
            </w:r>
          </w:p>
          <w:p w:rsidR="00F01B8B" w:rsidRPr="00BA410A" w:rsidRDefault="00F01B8B" w:rsidP="00794EFF">
            <w:pPr>
              <w:rPr>
                <w:rFonts w:cs="Times New Roman"/>
                <w:b/>
              </w:rPr>
            </w:pPr>
          </w:p>
          <w:p w:rsidR="00F01B8B" w:rsidRPr="00BA410A" w:rsidRDefault="00F01B8B" w:rsidP="00794EFF">
            <w:pPr>
              <w:rPr>
                <w:rFonts w:cs="Times New Roman"/>
                <w:b/>
              </w:rPr>
            </w:pPr>
          </w:p>
        </w:tc>
        <w:tc>
          <w:tcPr>
            <w:tcW w:w="5130" w:type="dxa"/>
          </w:tcPr>
          <w:p w:rsidR="00F01B8B" w:rsidRDefault="00F01B8B" w:rsidP="00794EFF">
            <w:pPr>
              <w:rPr>
                <w:rFonts w:cs="Times New Roman"/>
              </w:rPr>
            </w:pPr>
            <w:r w:rsidRPr="00141A13">
              <w:rPr>
                <w:rFonts w:cs="Times New Roman"/>
              </w:rPr>
              <w:object w:dxaOrig="7183" w:dyaOrig="5399">
                <v:shape id="_x0000_i1028" type="#_x0000_t75" style="width:232.2pt;height:175.2pt" o:ole="">
                  <v:imagedata r:id="rId12" o:title=""/>
                </v:shape>
                <o:OLEObject Type="Embed" ProgID="PowerPoint.Slide.12" ShapeID="_x0000_i1028" DrawAspect="Content" ObjectID="_1474297126" r:id="rId13"/>
              </w:object>
            </w:r>
          </w:p>
          <w:p w:rsidR="00F01B8B" w:rsidRPr="00BA410A" w:rsidRDefault="00F01B8B" w:rsidP="00794EFF">
            <w:pPr>
              <w:rPr>
                <w:rFonts w:cs="Times New Roman"/>
              </w:rPr>
            </w:pP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t>Slide 9</w:t>
            </w:r>
          </w:p>
          <w:p w:rsidR="00F01B8B" w:rsidRPr="00BA410A" w:rsidRDefault="00F01B8B" w:rsidP="00794EFF">
            <w:pPr>
              <w:rPr>
                <w:rFonts w:cs="Times New Roman"/>
              </w:rPr>
            </w:pPr>
            <w:r w:rsidRPr="00BA410A">
              <w:rPr>
                <w:rFonts w:cs="Times New Roman"/>
              </w:rPr>
              <w:t>Now we’ll move into discussing how to prepare for the final scoring process. Again, this will occur at the end of the interval of instruction. In general, something to remember is that much of the onus of preparing the evidence of whether students met their targets or not does falls on the teacher. To make this review process possible, it is helpful to follow these steps exactly so that every time an evaluator or local committee is looking at this evidence from one teacher to another, they know exactly what they are looking at because it is organized in the same way. The more streamlined the process, the more likely it is both efficient and fair.</w:t>
            </w:r>
          </w:p>
          <w:p w:rsidR="00F01B8B" w:rsidRPr="00BA410A" w:rsidRDefault="00F01B8B" w:rsidP="00794EFF">
            <w:pPr>
              <w:rPr>
                <w:rFonts w:cs="Times New Roman"/>
              </w:rPr>
            </w:pPr>
          </w:p>
        </w:tc>
        <w:tc>
          <w:tcPr>
            <w:tcW w:w="5130" w:type="dxa"/>
          </w:tcPr>
          <w:p w:rsidR="00F01B8B" w:rsidRPr="00BA410A" w:rsidRDefault="00F01B8B" w:rsidP="00794EFF">
            <w:pPr>
              <w:rPr>
                <w:rFonts w:cs="Times New Roman"/>
              </w:rPr>
            </w:pPr>
            <w:r w:rsidRPr="00BA410A">
              <w:rPr>
                <w:rFonts w:cs="Times New Roman"/>
                <w:noProof/>
              </w:rPr>
              <w:drawing>
                <wp:inline distT="0" distB="0" distL="0" distR="0" wp14:anchorId="596B5A64" wp14:editId="06779EE0">
                  <wp:extent cx="3057525" cy="22932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0352" cy="2302869"/>
                          </a:xfrm>
                          <a:prstGeom prst="rect">
                            <a:avLst/>
                          </a:prstGeom>
                          <a:noFill/>
                        </pic:spPr>
                      </pic:pic>
                    </a:graphicData>
                  </a:graphic>
                </wp:inline>
              </w:drawing>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lastRenderedPageBreak/>
              <w:t>Slide 10</w:t>
            </w:r>
          </w:p>
          <w:p w:rsidR="00F01B8B" w:rsidRPr="00BA410A" w:rsidRDefault="00F01B8B" w:rsidP="00794EFF">
            <w:pPr>
              <w:rPr>
                <w:rFonts w:cs="Times New Roman"/>
              </w:rPr>
            </w:pPr>
            <w:r w:rsidRPr="00BA410A">
              <w:rPr>
                <w:rFonts w:cs="Times New Roman"/>
              </w:rPr>
              <w:t>There are several documents that the teacher should have ready in order to present the evidence for review. The evidence should include:</w:t>
            </w:r>
          </w:p>
          <w:p w:rsidR="00F01B8B" w:rsidRPr="00BA410A" w:rsidRDefault="00F01B8B" w:rsidP="00F01B8B">
            <w:pPr>
              <w:pStyle w:val="ListParagraph"/>
              <w:numPr>
                <w:ilvl w:val="0"/>
                <w:numId w:val="2"/>
              </w:numPr>
              <w:rPr>
                <w:rFonts w:cs="Times New Roman"/>
              </w:rPr>
            </w:pPr>
            <w:r w:rsidRPr="00BA410A">
              <w:rPr>
                <w:rFonts w:cs="Times New Roman"/>
              </w:rPr>
              <w:t xml:space="preserve">A copy of the original, approved SLO template and checklist for reference. </w:t>
            </w:r>
          </w:p>
          <w:p w:rsidR="00F01B8B" w:rsidRPr="00BA410A" w:rsidRDefault="00F01B8B" w:rsidP="00F01B8B">
            <w:pPr>
              <w:pStyle w:val="ListParagraph"/>
              <w:numPr>
                <w:ilvl w:val="0"/>
                <w:numId w:val="2"/>
              </w:numPr>
              <w:rPr>
                <w:rFonts w:cs="Times New Roman"/>
              </w:rPr>
            </w:pPr>
            <w:r w:rsidRPr="00BA410A">
              <w:rPr>
                <w:rFonts w:cs="Times New Roman"/>
              </w:rPr>
              <w:t>The completed Individual SLO Scoring Template, which we’ll review in a moment.</w:t>
            </w:r>
          </w:p>
          <w:p w:rsidR="00F01B8B" w:rsidRPr="00BA410A" w:rsidRDefault="00F01B8B" w:rsidP="00F01B8B">
            <w:pPr>
              <w:pStyle w:val="ListParagraph"/>
              <w:numPr>
                <w:ilvl w:val="0"/>
                <w:numId w:val="2"/>
              </w:numPr>
              <w:rPr>
                <w:rFonts w:cs="Times New Roman"/>
              </w:rPr>
            </w:pPr>
            <w:r w:rsidRPr="00BA410A">
              <w:rPr>
                <w:rFonts w:cs="Times New Roman"/>
              </w:rPr>
              <w:t xml:space="preserve">Copies of the student assessments on which attainment of the growth targets was measured (not completed student versions, just the assessments themselves), </w:t>
            </w:r>
          </w:p>
          <w:p w:rsidR="00F01B8B" w:rsidRPr="00F01B8B" w:rsidRDefault="00F01B8B" w:rsidP="00794EFF">
            <w:pPr>
              <w:pStyle w:val="ListParagraph"/>
              <w:numPr>
                <w:ilvl w:val="0"/>
                <w:numId w:val="2"/>
              </w:numPr>
              <w:rPr>
                <w:rFonts w:cs="Times New Roman"/>
              </w:rPr>
            </w:pPr>
            <w:r w:rsidRPr="00BA410A">
              <w:rPr>
                <w:rFonts w:cs="Times New Roman"/>
              </w:rPr>
              <w:t xml:space="preserve">An explanation of how the assessment was scored. For example, if multiple assessments were used, detail how the scores of the assessments were combined to arrive at the final score. If any rubrics were used, provide copies. If team scoring was used, describe that process.” </w:t>
            </w:r>
          </w:p>
        </w:tc>
        <w:tc>
          <w:tcPr>
            <w:tcW w:w="5130" w:type="dxa"/>
          </w:tcPr>
          <w:p w:rsidR="00F01B8B" w:rsidRPr="00BA410A" w:rsidRDefault="00F01B8B" w:rsidP="00794EFF">
            <w:pPr>
              <w:rPr>
                <w:rFonts w:cs="Times New Roman"/>
              </w:rPr>
            </w:pPr>
            <w:r w:rsidRPr="00BA410A">
              <w:rPr>
                <w:rFonts w:cs="Times New Roman"/>
                <w:noProof/>
              </w:rPr>
              <w:drawing>
                <wp:inline distT="0" distB="0" distL="0" distR="0" wp14:anchorId="3616A41C" wp14:editId="1DA28A82">
                  <wp:extent cx="3085956" cy="23145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0738" cy="2318162"/>
                          </a:xfrm>
                          <a:prstGeom prst="rect">
                            <a:avLst/>
                          </a:prstGeom>
                          <a:noFill/>
                        </pic:spPr>
                      </pic:pic>
                    </a:graphicData>
                  </a:graphic>
                </wp:inline>
              </w:drawing>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t>Slide 11</w:t>
            </w:r>
          </w:p>
          <w:p w:rsidR="00F01B8B" w:rsidRPr="00BA410A" w:rsidRDefault="00F01B8B" w:rsidP="00794EFF">
            <w:pPr>
              <w:rPr>
                <w:rFonts w:cs="Times New Roman"/>
                <w:i/>
              </w:rPr>
            </w:pPr>
            <w:r w:rsidRPr="00BA410A">
              <w:rPr>
                <w:rFonts w:cs="Times New Roman"/>
                <w:i/>
              </w:rPr>
              <w:t xml:space="preserve">Say: </w:t>
            </w:r>
          </w:p>
          <w:p w:rsidR="00F01B8B" w:rsidRDefault="00F01B8B" w:rsidP="00794EFF">
            <w:pPr>
              <w:rPr>
                <w:rFonts w:cs="Times New Roman"/>
              </w:rPr>
            </w:pPr>
            <w:r w:rsidRPr="00BA410A">
              <w:rPr>
                <w:rFonts w:cs="Times New Roman"/>
              </w:rPr>
              <w:t xml:space="preserve">“After the final assessment has been administered and results are available, the teacher will complete the Individual SLO Scoring Template to present the evidence on growth target attainment for each student. The Ohio Department of Education (ODE) </w:t>
            </w:r>
            <w:r>
              <w:rPr>
                <w:rFonts w:cs="Times New Roman"/>
              </w:rPr>
              <w:t>provides this document on its website.  You have a screenshot of the Individual SLO Scoring Template and the SLO Scoring Matrix in Handout 4.1, but let me show you where to access the actual form on the ODE website.”</w:t>
            </w:r>
          </w:p>
          <w:p w:rsidR="00F01B8B" w:rsidRDefault="00F01B8B" w:rsidP="00794EFF">
            <w:pPr>
              <w:rPr>
                <w:rFonts w:cs="Times New Roman"/>
                <w:i/>
              </w:rPr>
            </w:pPr>
            <w:r>
              <w:rPr>
                <w:rFonts w:cs="Times New Roman"/>
                <w:i/>
              </w:rPr>
              <w:t xml:space="preserve">Click the hyperlink and show people where to find the document entitled “SLO Scoring Template.”  Open up the form. </w:t>
            </w:r>
          </w:p>
          <w:p w:rsidR="00F01B8B" w:rsidRDefault="00F01B8B" w:rsidP="00794EFF">
            <w:pPr>
              <w:rPr>
                <w:rFonts w:cs="Times New Roman"/>
              </w:rPr>
            </w:pPr>
            <w:r>
              <w:rPr>
                <w:rFonts w:cs="Times New Roman"/>
                <w:i/>
              </w:rPr>
              <w:t>“</w:t>
            </w:r>
            <w:r w:rsidRPr="00BA410A">
              <w:rPr>
                <w:rFonts w:cs="Times New Roman"/>
              </w:rPr>
              <w:t>This template will help you do the simple calculations involved in arriving at the final score, but its main purpose, really, is to present this information in a standardized wa</w:t>
            </w:r>
            <w:r>
              <w:rPr>
                <w:rFonts w:cs="Times New Roman"/>
              </w:rPr>
              <w:t>y from one teacher to the next. Handout 4.2 contains directions on how to complete the template.”</w:t>
            </w:r>
          </w:p>
          <w:p w:rsidR="00F01B8B" w:rsidRDefault="00F01B8B" w:rsidP="00794EFF">
            <w:pPr>
              <w:rPr>
                <w:rFonts w:cs="Times New Roman"/>
              </w:rPr>
            </w:pPr>
            <w:r>
              <w:rPr>
                <w:rFonts w:cs="Times New Roman"/>
                <w:i/>
              </w:rPr>
              <w:t xml:space="preserve">Briefly summarize the contents of the table, noting that the teacher would fill in the first four columns when setting the SLO and then would just have to </w:t>
            </w:r>
            <w:r>
              <w:rPr>
                <w:rFonts w:cs="Times New Roman"/>
                <w:i/>
              </w:rPr>
              <w:lastRenderedPageBreak/>
              <w:t>complete the final two columns towards the end of the interval of instruction.</w:t>
            </w:r>
            <w:r>
              <w:rPr>
                <w:rFonts w:cs="Times New Roman"/>
              </w:rPr>
              <w:t xml:space="preserve"> </w:t>
            </w:r>
          </w:p>
          <w:p w:rsidR="00F01B8B" w:rsidRDefault="00F01B8B" w:rsidP="00794EFF">
            <w:pPr>
              <w:rPr>
                <w:rFonts w:cs="Times New Roman"/>
              </w:rPr>
            </w:pPr>
            <w:r w:rsidRPr="00BA410A">
              <w:rPr>
                <w:rFonts w:cs="Times New Roman"/>
              </w:rPr>
              <w:t xml:space="preserve">“Once you have completed the Individual SLO Scoring Template, </w:t>
            </w:r>
            <w:r>
              <w:rPr>
                <w:rFonts w:cs="Times New Roman"/>
              </w:rPr>
              <w:t>analyze the data.  This completed template can be used to think about changes in practice and instructional strategies that might be used in the future to reach any identified groups of students who did not meet their growth targets.”</w:t>
            </w:r>
          </w:p>
          <w:p w:rsidR="00F01B8B" w:rsidRPr="00420189" w:rsidRDefault="00F01B8B" w:rsidP="00794EFF">
            <w:pPr>
              <w:rPr>
                <w:rFonts w:cs="Times New Roman"/>
                <w:i/>
              </w:rPr>
            </w:pPr>
            <w:r>
              <w:rPr>
                <w:rFonts w:cs="Times New Roman"/>
                <w:i/>
              </w:rPr>
              <w:t>Scroll down to the second page of the document to show where the scoring information would go.</w:t>
            </w:r>
          </w:p>
          <w:p w:rsidR="00F01B8B" w:rsidRPr="00BA410A" w:rsidRDefault="00F01B8B" w:rsidP="00794EFF">
            <w:pPr>
              <w:rPr>
                <w:rFonts w:cs="Times New Roman"/>
                <w:i/>
              </w:rPr>
            </w:pPr>
          </w:p>
        </w:tc>
        <w:tc>
          <w:tcPr>
            <w:tcW w:w="5130" w:type="dxa"/>
          </w:tcPr>
          <w:p w:rsidR="00F01B8B" w:rsidRPr="00BA410A" w:rsidRDefault="00F01B8B" w:rsidP="00794EFF">
            <w:pPr>
              <w:rPr>
                <w:rFonts w:cs="Times New Roman"/>
              </w:rPr>
            </w:pPr>
            <w:r w:rsidRPr="00420189">
              <w:rPr>
                <w:rFonts w:cs="Times New Roman"/>
                <w:noProof/>
              </w:rPr>
              <w:lastRenderedPageBreak/>
              <w:drawing>
                <wp:inline distT="0" distB="0" distL="0" distR="0" wp14:anchorId="7FA869E0" wp14:editId="7AF2AF9B">
                  <wp:extent cx="3327398"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27863" cy="2495899"/>
                          </a:xfrm>
                          <a:prstGeom prst="rect">
                            <a:avLst/>
                          </a:prstGeom>
                        </pic:spPr>
                      </pic:pic>
                    </a:graphicData>
                  </a:graphic>
                </wp:inline>
              </w:drawing>
            </w:r>
          </w:p>
        </w:tc>
      </w:tr>
      <w:tr w:rsidR="00F01B8B" w:rsidRPr="00BA410A" w:rsidTr="00794EFF">
        <w:tc>
          <w:tcPr>
            <w:tcW w:w="5418" w:type="dxa"/>
          </w:tcPr>
          <w:p w:rsidR="00F01B8B" w:rsidRDefault="00F01B8B" w:rsidP="00794EFF">
            <w:pPr>
              <w:rPr>
                <w:rFonts w:cs="Times New Roman"/>
                <w:b/>
                <w:color w:val="323E4F" w:themeColor="text2" w:themeShade="BF"/>
              </w:rPr>
            </w:pPr>
            <w:r w:rsidRPr="00BA410A">
              <w:rPr>
                <w:rFonts w:cs="Times New Roman"/>
                <w:b/>
                <w:color w:val="323E4F" w:themeColor="text2" w:themeShade="BF"/>
              </w:rPr>
              <w:lastRenderedPageBreak/>
              <w:t>Slide 1</w:t>
            </w:r>
            <w:r>
              <w:rPr>
                <w:rFonts w:cs="Times New Roman"/>
                <w:b/>
                <w:color w:val="323E4F" w:themeColor="text2" w:themeShade="BF"/>
              </w:rPr>
              <w:t>2</w:t>
            </w:r>
          </w:p>
          <w:p w:rsidR="00F01B8B" w:rsidRPr="00585FAA" w:rsidRDefault="00F01B8B" w:rsidP="00794EFF">
            <w:pPr>
              <w:rPr>
                <w:rFonts w:cs="Times New Roman"/>
                <w:i/>
              </w:rPr>
            </w:pPr>
            <w:r w:rsidRPr="00BA410A">
              <w:rPr>
                <w:rFonts w:cs="Times New Roman"/>
                <w:i/>
              </w:rPr>
              <w:t>Plan to spend 15</w:t>
            </w:r>
            <w:r>
              <w:rPr>
                <w:rFonts w:cs="Times New Roman"/>
                <w:i/>
              </w:rPr>
              <w:t>-20</w:t>
            </w:r>
            <w:r w:rsidRPr="00BA410A">
              <w:rPr>
                <w:rFonts w:cs="Times New Roman"/>
                <w:i/>
              </w:rPr>
              <w:t xml:space="preserve"> minutes on slides 1</w:t>
            </w:r>
            <w:r>
              <w:rPr>
                <w:rFonts w:cs="Times New Roman"/>
                <w:i/>
              </w:rPr>
              <w:t>2</w:t>
            </w:r>
            <w:r w:rsidRPr="00BA410A">
              <w:rPr>
                <w:rFonts w:cs="Times New Roman"/>
                <w:i/>
              </w:rPr>
              <w:t>–</w:t>
            </w:r>
            <w:r>
              <w:rPr>
                <w:rFonts w:cs="Times New Roman"/>
                <w:i/>
              </w:rPr>
              <w:t>14</w:t>
            </w:r>
            <w:r w:rsidRPr="00BA410A">
              <w:rPr>
                <w:rFonts w:cs="Times New Roman"/>
                <w:i/>
              </w:rPr>
              <w:t>.</w:t>
            </w:r>
          </w:p>
          <w:p w:rsidR="00F01B8B" w:rsidRPr="00BA410A" w:rsidRDefault="00F01B8B" w:rsidP="00794EFF">
            <w:pPr>
              <w:rPr>
                <w:rFonts w:cs="Times New Roman"/>
                <w:i/>
              </w:rPr>
            </w:pPr>
            <w:r w:rsidRPr="00BA410A">
              <w:rPr>
                <w:rFonts w:cs="Times New Roman"/>
                <w:i/>
              </w:rPr>
              <w:t>Say:</w:t>
            </w:r>
          </w:p>
          <w:p w:rsidR="00F01B8B" w:rsidRDefault="00F01B8B" w:rsidP="00794EFF">
            <w:pPr>
              <w:rPr>
                <w:rFonts w:cs="Times New Roman"/>
              </w:rPr>
            </w:pPr>
            <w:r>
              <w:rPr>
                <w:rFonts w:cs="Times New Roman"/>
              </w:rPr>
              <w:t>“Here is an example scoring example.  Ms. Montenegro is a second grade teacher at Sunny Elementary.  Her SLO is focusing on writing and her assessment is a student portfolio of work.”</w:t>
            </w:r>
          </w:p>
          <w:p w:rsidR="00F01B8B" w:rsidRDefault="00F01B8B" w:rsidP="00794EFF">
            <w:pPr>
              <w:rPr>
                <w:rFonts w:cs="Times New Roman"/>
              </w:rPr>
            </w:pPr>
            <w:r>
              <w:rPr>
                <w:rFonts w:cs="Times New Roman"/>
              </w:rPr>
              <w:t xml:space="preserve">“We see here that Ms. Montenegro has listed the student name and student IDs listed for five students in the first two columns. In the third column, she has listed the baseline score, which in this case are results from a writing portfolio from the previous year.  The fourth column contains the growth </w:t>
            </w:r>
            <w:proofErr w:type="spellStart"/>
            <w:r>
              <w:rPr>
                <w:rFonts w:cs="Times New Roman"/>
              </w:rPr>
              <w:t>targets.”Most</w:t>
            </w:r>
            <w:proofErr w:type="spellEnd"/>
            <w:r>
              <w:rPr>
                <w:rFonts w:cs="Times New Roman"/>
              </w:rPr>
              <w:t xml:space="preserve"> likely Ms. Montenegro filled out the first four columns of the chart when she created her SLO.”</w:t>
            </w:r>
          </w:p>
          <w:p w:rsidR="00F01B8B" w:rsidRDefault="00F01B8B" w:rsidP="00794EFF">
            <w:pPr>
              <w:rPr>
                <w:rFonts w:cs="Times New Roman"/>
              </w:rPr>
            </w:pPr>
            <w:r>
              <w:rPr>
                <w:rFonts w:cs="Times New Roman"/>
              </w:rPr>
              <w:t xml:space="preserve">“The fifth column lists the final assessment score that the student attained.  In the final column, she noted whether the objective was me tor not, by determining comparing the final score to the growth target. </w:t>
            </w:r>
          </w:p>
          <w:p w:rsidR="00F01B8B" w:rsidRDefault="00F01B8B" w:rsidP="00794EFF">
            <w:pPr>
              <w:rPr>
                <w:rFonts w:cs="Times New Roman"/>
              </w:rPr>
            </w:pPr>
            <w:r>
              <w:rPr>
                <w:rFonts w:cs="Times New Roman"/>
              </w:rPr>
              <w:t>“Realistically, a teacher would most likely have more than 5 students.  However, based upon this example, what percentage of students met or exceeded their growth target and what would her ratings be?”</w:t>
            </w:r>
          </w:p>
          <w:p w:rsidR="00F01B8B" w:rsidRDefault="00F01B8B" w:rsidP="00794EFF">
            <w:pPr>
              <w:rPr>
                <w:rFonts w:cs="Times New Roman"/>
                <w:i/>
              </w:rPr>
            </w:pPr>
            <w:r>
              <w:rPr>
                <w:rFonts w:cs="Times New Roman"/>
                <w:i/>
              </w:rPr>
              <w:t>Pause for a moment to let people think about it. Click the mouse so that the bottom of the chart appears.</w:t>
            </w:r>
          </w:p>
          <w:p w:rsidR="00F01B8B" w:rsidRPr="00172906" w:rsidRDefault="00F01B8B" w:rsidP="00794EFF">
            <w:pPr>
              <w:rPr>
                <w:rFonts w:cs="Times New Roman"/>
              </w:rPr>
            </w:pPr>
            <w:r>
              <w:rPr>
                <w:rFonts w:cs="Times New Roman"/>
              </w:rPr>
              <w:t xml:space="preserve">“In this case, 60 percent of students met their growth target.  The descriptive rating would be approaching average and the numerical rating would be 2.”  </w:t>
            </w:r>
          </w:p>
          <w:p w:rsidR="00F01B8B" w:rsidRDefault="00F01B8B" w:rsidP="00794EFF">
            <w:pPr>
              <w:rPr>
                <w:rFonts w:cs="Times New Roman"/>
                <w:i/>
              </w:rPr>
            </w:pPr>
            <w:r w:rsidRPr="00BA410A">
              <w:rPr>
                <w:rFonts w:cs="Times New Roman"/>
                <w:i/>
              </w:rPr>
              <w:lastRenderedPageBreak/>
              <w:t>Ask the group if there are questions on the process, including what data should be entered into each cell.</w:t>
            </w:r>
          </w:p>
          <w:p w:rsidR="00F01B8B" w:rsidRPr="00BA410A" w:rsidRDefault="00F01B8B" w:rsidP="00794EFF">
            <w:pPr>
              <w:rPr>
                <w:rFonts w:cs="Times New Roman"/>
                <w:b/>
              </w:rPr>
            </w:pPr>
          </w:p>
        </w:tc>
        <w:tc>
          <w:tcPr>
            <w:tcW w:w="5130" w:type="dxa"/>
          </w:tcPr>
          <w:p w:rsidR="00F01B8B" w:rsidRPr="00BA410A" w:rsidRDefault="00F01B8B" w:rsidP="00794EFF">
            <w:pPr>
              <w:rPr>
                <w:rFonts w:cs="Times New Roman"/>
              </w:rPr>
            </w:pPr>
            <w:r w:rsidRPr="00420189">
              <w:rPr>
                <w:rFonts w:cs="Times New Roman"/>
                <w:noProof/>
              </w:rPr>
              <w:lastRenderedPageBreak/>
              <w:drawing>
                <wp:inline distT="0" distB="0" distL="0" distR="0" wp14:anchorId="4B47C99D" wp14:editId="1C0E7310">
                  <wp:extent cx="3022596" cy="226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23018" cy="2267266"/>
                          </a:xfrm>
                          <a:prstGeom prst="rect">
                            <a:avLst/>
                          </a:prstGeom>
                        </pic:spPr>
                      </pic:pic>
                    </a:graphicData>
                  </a:graphic>
                </wp:inline>
              </w:drawing>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lastRenderedPageBreak/>
              <w:t>Slide 13</w:t>
            </w:r>
          </w:p>
          <w:p w:rsidR="00F01B8B" w:rsidRPr="00BA410A" w:rsidRDefault="00F01B8B" w:rsidP="00794EFF">
            <w:pPr>
              <w:rPr>
                <w:rFonts w:cs="Times New Roman"/>
              </w:rPr>
            </w:pPr>
            <w:r>
              <w:rPr>
                <w:rFonts w:cs="Times New Roman"/>
              </w:rPr>
              <w:t>Once the teacher has gathered the necessary information for scoring, the teacher should meet with the evaluator to discuss SLO attainment.  During this meeting, the teacher and evaluator should score the SLO.  In addition, the teacher and evaluator should discuss how factors may have impacted SLO attainment and discuss how the teacher can improve his or her practice next year.  This meeting can be part of a larger d</w:t>
            </w:r>
            <w:r>
              <w:rPr>
                <w:rFonts w:cs="Times New Roman"/>
              </w:rPr>
              <w:t>iscussion about student growth.</w:t>
            </w:r>
          </w:p>
        </w:tc>
        <w:tc>
          <w:tcPr>
            <w:tcW w:w="5130" w:type="dxa"/>
          </w:tcPr>
          <w:p w:rsidR="00F01B8B" w:rsidRPr="00BA410A" w:rsidRDefault="00F01B8B" w:rsidP="00794EFF">
            <w:pPr>
              <w:rPr>
                <w:rFonts w:cs="Times New Roman"/>
              </w:rPr>
            </w:pPr>
            <w:r w:rsidRPr="00172906">
              <w:rPr>
                <w:rFonts w:cs="Times New Roman"/>
              </w:rPr>
              <w:object w:dxaOrig="7183" w:dyaOrig="5399">
                <v:shape id="_x0000_i1029" type="#_x0000_t75" style="width:246pt;height:184.2pt" o:ole="">
                  <v:imagedata r:id="rId18" o:title=""/>
                </v:shape>
                <o:OLEObject Type="Embed" ProgID="PowerPoint.Slide.12" ShapeID="_x0000_i1029" DrawAspect="Content" ObjectID="_1474297127" r:id="rId19"/>
              </w:object>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Pr>
                <w:rFonts w:cs="Times New Roman"/>
                <w:b/>
                <w:color w:val="323E4F" w:themeColor="text2" w:themeShade="BF"/>
              </w:rPr>
              <w:t>Slide 15</w:t>
            </w:r>
          </w:p>
          <w:p w:rsidR="00F01B8B" w:rsidRPr="00BA410A" w:rsidRDefault="00F01B8B" w:rsidP="00794EFF">
            <w:pPr>
              <w:rPr>
                <w:rFonts w:cs="Times New Roman"/>
              </w:rPr>
            </w:pPr>
            <w:r w:rsidRPr="00BA410A">
              <w:rPr>
                <w:rFonts w:cs="Times New Roman"/>
              </w:rPr>
              <w:t>In order to provide a consistent process for student growth measure scoring and minimize the burden on local education agencies (LEAs), each LEA will enter teacher scores within the Ohio Teacher and Principal Evaluation System (</w:t>
            </w:r>
            <w:proofErr w:type="spellStart"/>
            <w:r w:rsidRPr="00BA410A">
              <w:rPr>
                <w:rFonts w:cs="Times New Roman"/>
              </w:rPr>
              <w:t>eTPES</w:t>
            </w:r>
            <w:proofErr w:type="spellEnd"/>
            <w:r w:rsidRPr="00BA410A">
              <w:rPr>
                <w:rFonts w:cs="Times New Roman"/>
              </w:rPr>
              <w:t xml:space="preserve">), which will then automatically record and calculate overall scores. The district plan will already be submitted in </w:t>
            </w:r>
            <w:proofErr w:type="spellStart"/>
            <w:r w:rsidRPr="00BA410A">
              <w:rPr>
                <w:rFonts w:cs="Times New Roman"/>
              </w:rPr>
              <w:t>eTPES</w:t>
            </w:r>
            <w:proofErr w:type="spellEnd"/>
            <w:r w:rsidRPr="00BA410A">
              <w:rPr>
                <w:rFonts w:cs="Times New Roman"/>
              </w:rPr>
              <w:t>, which will have provided the default percentages for how much of the final score will be attributed to different types of student growth measures based on the three categ</w:t>
            </w:r>
            <w:r>
              <w:rPr>
                <w:rFonts w:cs="Times New Roman"/>
              </w:rPr>
              <w:t>ories of teachers: A, B, and C.</w:t>
            </w:r>
          </w:p>
        </w:tc>
        <w:tc>
          <w:tcPr>
            <w:tcW w:w="5130" w:type="dxa"/>
          </w:tcPr>
          <w:p w:rsidR="00F01B8B" w:rsidRPr="00BA410A" w:rsidRDefault="00F01B8B" w:rsidP="00794EFF">
            <w:pPr>
              <w:rPr>
                <w:rFonts w:cs="Times New Roman"/>
              </w:rPr>
            </w:pPr>
            <w:r w:rsidRPr="00BA410A">
              <w:rPr>
                <w:rFonts w:cs="Times New Roman"/>
                <w:noProof/>
              </w:rPr>
              <w:drawing>
                <wp:inline distT="0" distB="0" distL="0" distR="0" wp14:anchorId="5E235CBC" wp14:editId="0DA98B64">
                  <wp:extent cx="3219450" cy="24147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3922" cy="2425555"/>
                          </a:xfrm>
                          <a:prstGeom prst="rect">
                            <a:avLst/>
                          </a:prstGeom>
                          <a:noFill/>
                        </pic:spPr>
                      </pic:pic>
                    </a:graphicData>
                  </a:graphic>
                </wp:inline>
              </w:drawing>
            </w:r>
          </w:p>
        </w:tc>
      </w:tr>
      <w:tr w:rsidR="00F01B8B" w:rsidRPr="00BA410A" w:rsidTr="00794EFF">
        <w:tc>
          <w:tcPr>
            <w:tcW w:w="5418" w:type="dxa"/>
          </w:tcPr>
          <w:p w:rsidR="00176D5F" w:rsidRDefault="00F01B8B" w:rsidP="00176D5F">
            <w:pPr>
              <w:spacing w:before="0"/>
              <w:rPr>
                <w:rFonts w:cs="Times New Roman"/>
                <w:b/>
                <w:color w:val="323E4F" w:themeColor="text2" w:themeShade="BF"/>
              </w:rPr>
            </w:pPr>
            <w:r w:rsidRPr="00BA410A">
              <w:rPr>
                <w:rFonts w:cs="Times New Roman"/>
                <w:b/>
                <w:color w:val="323E4F" w:themeColor="text2" w:themeShade="BF"/>
              </w:rPr>
              <w:t>Slide 1</w:t>
            </w:r>
            <w:r>
              <w:rPr>
                <w:rFonts w:cs="Times New Roman"/>
                <w:b/>
                <w:color w:val="323E4F" w:themeColor="text2" w:themeShade="BF"/>
              </w:rPr>
              <w:t>7</w:t>
            </w:r>
          </w:p>
          <w:p w:rsidR="00F01B8B" w:rsidRPr="00F01B8B" w:rsidRDefault="00F01B8B" w:rsidP="00176D5F">
            <w:pPr>
              <w:spacing w:before="0"/>
              <w:rPr>
                <w:rFonts w:cs="Times New Roman"/>
                <w:b/>
                <w:color w:val="323E4F" w:themeColor="text2" w:themeShade="BF"/>
              </w:rPr>
            </w:pPr>
            <w:r w:rsidRPr="00BA410A">
              <w:rPr>
                <w:rFonts w:cs="Times New Roman"/>
              </w:rPr>
              <w:t xml:space="preserve">In some cases, districts may </w:t>
            </w:r>
            <w:r>
              <w:rPr>
                <w:rFonts w:cs="Times New Roman"/>
              </w:rPr>
              <w:t>need to adjust the</w:t>
            </w:r>
            <w:r w:rsidRPr="00BA410A">
              <w:rPr>
                <w:rFonts w:cs="Times New Roman"/>
              </w:rPr>
              <w:t xml:space="preserve"> percentage attributed to each student growth measure </w:t>
            </w:r>
            <w:r>
              <w:rPr>
                <w:rFonts w:cs="Times New Roman"/>
              </w:rPr>
              <w:t>for groups of teachers within a category due to unusual circumstances.</w:t>
            </w:r>
            <w:r w:rsidRPr="00BA410A">
              <w:rPr>
                <w:rFonts w:cs="Times New Roman"/>
              </w:rPr>
              <w:t xml:space="preserve"> Ideally, any variations would be made at the beginning of the year when the district plan is submitted in the system. </w:t>
            </w:r>
          </w:p>
          <w:p w:rsidR="00F01B8B" w:rsidRPr="00BA410A" w:rsidRDefault="00F01B8B" w:rsidP="00794EFF">
            <w:pPr>
              <w:rPr>
                <w:rFonts w:cs="Times New Roman"/>
              </w:rPr>
            </w:pPr>
            <w:r w:rsidRPr="00BA410A">
              <w:rPr>
                <w:rFonts w:cs="Times New Roman"/>
              </w:rPr>
              <w:t>For example, it may be the case that a teacher only has one year of value-added data, and the evaluator or committee feels it would be appropriate to shift more of a percentage of the evaluation onto LEA measures. In this scenario, consistency in variations should be maintained based on circumstance.</w:t>
            </w:r>
          </w:p>
          <w:p w:rsidR="00F01B8B" w:rsidRPr="00BA410A" w:rsidRDefault="00F01B8B" w:rsidP="00176D5F">
            <w:pPr>
              <w:rPr>
                <w:rFonts w:cs="Times New Roman"/>
              </w:rPr>
            </w:pPr>
          </w:p>
        </w:tc>
        <w:tc>
          <w:tcPr>
            <w:tcW w:w="5130" w:type="dxa"/>
          </w:tcPr>
          <w:p w:rsidR="00F01B8B" w:rsidRPr="00BA410A" w:rsidRDefault="00F01B8B" w:rsidP="00794EFF">
            <w:pPr>
              <w:rPr>
                <w:rFonts w:cs="Times New Roman"/>
              </w:rPr>
            </w:pPr>
            <w:r w:rsidRPr="00BA410A">
              <w:rPr>
                <w:rFonts w:cs="Times New Roman"/>
                <w:noProof/>
              </w:rPr>
              <w:drawing>
                <wp:inline distT="0" distB="0" distL="0" distR="0" wp14:anchorId="09F6629F" wp14:editId="4C3215A0">
                  <wp:extent cx="3143250" cy="2357548"/>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62448" cy="2371947"/>
                          </a:xfrm>
                          <a:prstGeom prst="rect">
                            <a:avLst/>
                          </a:prstGeom>
                          <a:noFill/>
                        </pic:spPr>
                      </pic:pic>
                    </a:graphicData>
                  </a:graphic>
                </wp:inline>
              </w:drawing>
            </w:r>
          </w:p>
        </w:tc>
      </w:tr>
      <w:tr w:rsidR="00F01B8B" w:rsidRPr="00BA410A" w:rsidTr="00794EFF">
        <w:trPr>
          <w:trHeight w:val="70"/>
        </w:trPr>
        <w:tc>
          <w:tcPr>
            <w:tcW w:w="5418" w:type="dxa"/>
          </w:tcPr>
          <w:p w:rsidR="00176D5F" w:rsidRDefault="00F01B8B" w:rsidP="00794EFF">
            <w:pPr>
              <w:rPr>
                <w:rFonts w:cs="Times New Roman"/>
                <w:b/>
                <w:color w:val="323E4F" w:themeColor="text2" w:themeShade="BF"/>
              </w:rPr>
            </w:pPr>
            <w:r>
              <w:rPr>
                <w:rFonts w:cs="Times New Roman"/>
                <w:b/>
                <w:color w:val="323E4F" w:themeColor="text2" w:themeShade="BF"/>
              </w:rPr>
              <w:lastRenderedPageBreak/>
              <w:t>Slide 18</w:t>
            </w:r>
          </w:p>
          <w:p w:rsidR="00176D5F" w:rsidRPr="00176D5F" w:rsidRDefault="00F01B8B" w:rsidP="00176D5F">
            <w:pPr>
              <w:spacing w:before="0"/>
              <w:rPr>
                <w:rFonts w:cs="Times New Roman"/>
                <w:b/>
                <w:color w:val="323E4F" w:themeColor="text2" w:themeShade="BF"/>
              </w:rPr>
            </w:pPr>
            <w:r w:rsidRPr="00D40802">
              <w:rPr>
                <w:rFonts w:cs="Times New Roman"/>
              </w:rPr>
              <w:t xml:space="preserve">This worksheet represents the scores that will be entered for each teacher. </w:t>
            </w:r>
            <w:r>
              <w:rPr>
                <w:rFonts w:cs="Times New Roman"/>
              </w:rPr>
              <w:t xml:space="preserve">Similar to the district plan we just saw, it includes four columns. </w:t>
            </w:r>
          </w:p>
          <w:p w:rsidR="00F01B8B" w:rsidRDefault="00176D5F" w:rsidP="00176D5F">
            <w:pPr>
              <w:spacing w:before="0"/>
              <w:rPr>
                <w:rFonts w:cs="Times New Roman"/>
              </w:rPr>
            </w:pPr>
            <w:r>
              <w:rPr>
                <w:rFonts w:cs="Times New Roman"/>
              </w:rPr>
              <w:t>See</w:t>
            </w:r>
            <w:r w:rsidR="00F01B8B">
              <w:rPr>
                <w:rFonts w:cs="Times New Roman"/>
              </w:rPr>
              <w:t xml:space="preserve"> </w:t>
            </w:r>
            <w:r w:rsidR="00F01B8B" w:rsidRPr="00176D5F">
              <w:rPr>
                <w:rFonts w:cs="Times New Roman"/>
                <w:b/>
                <w:color w:val="FF0000"/>
              </w:rPr>
              <w:t>Handout 4.4</w:t>
            </w:r>
            <w:r w:rsidR="00F01B8B" w:rsidRPr="00176D5F">
              <w:rPr>
                <w:rFonts w:cs="Times New Roman"/>
                <w:color w:val="FF0000"/>
              </w:rPr>
              <w:t xml:space="preserve"> </w:t>
            </w:r>
            <w:r w:rsidR="00F01B8B">
              <w:rPr>
                <w:rFonts w:cs="Times New Roman"/>
              </w:rPr>
              <w:t>for an easier-to-read version of this worksheet.</w:t>
            </w:r>
          </w:p>
          <w:p w:rsidR="00F01B8B" w:rsidRDefault="00F01B8B" w:rsidP="00176D5F">
            <w:pPr>
              <w:spacing w:before="0"/>
              <w:rPr>
                <w:rFonts w:cs="Times New Roman"/>
              </w:rPr>
            </w:pPr>
            <w:r w:rsidRPr="00D40802">
              <w:rPr>
                <w:rFonts w:cs="Times New Roman"/>
              </w:rPr>
              <w:t>Value-added data and percentage</w:t>
            </w:r>
            <w:r>
              <w:rPr>
                <w:rFonts w:cs="Times New Roman"/>
              </w:rPr>
              <w:t>s allocated to each measure</w:t>
            </w:r>
            <w:r w:rsidRPr="00D40802">
              <w:rPr>
                <w:rFonts w:cs="Times New Roman"/>
              </w:rPr>
              <w:t xml:space="preserve"> from the district plan will already be populated in the system. </w:t>
            </w:r>
          </w:p>
          <w:p w:rsidR="00F01B8B" w:rsidRPr="00D40802" w:rsidRDefault="00F01B8B" w:rsidP="00176D5F">
            <w:pPr>
              <w:spacing w:before="0"/>
              <w:rPr>
                <w:rFonts w:cs="Times New Roman"/>
              </w:rPr>
            </w:pPr>
            <w:r w:rsidRPr="00D40802">
              <w:rPr>
                <w:rFonts w:cs="Times New Roman"/>
              </w:rPr>
              <w:t>The greyed-out boxes</w:t>
            </w:r>
            <w:r>
              <w:rPr>
                <w:rFonts w:cs="Times New Roman"/>
              </w:rPr>
              <w:t xml:space="preserve"> will be pre-populated by the system.  The value-added and shared attribution scores will be entered in </w:t>
            </w:r>
            <w:proofErr w:type="spellStart"/>
            <w:r>
              <w:rPr>
                <w:rFonts w:cs="Times New Roman"/>
              </w:rPr>
              <w:t>eTPES</w:t>
            </w:r>
            <w:proofErr w:type="spellEnd"/>
            <w:r>
              <w:rPr>
                <w:rFonts w:cs="Times New Roman"/>
              </w:rPr>
              <w:t xml:space="preserve"> by the state for the districts.  LEAs will also have already entered the weights for each measure through their district plan, which is why the two rows towards the bottom of the worksheet also appear in grey. The LEA will be responsible for entering the scores for each vendor assessment and SLO that applies to the teacher’s evaluation. An LEA representative is responsible for entering the numerical rating (1-5) for each vendor assessment and/or SLO.</w:t>
            </w:r>
          </w:p>
          <w:p w:rsidR="00F01B8B" w:rsidRPr="00BA410A" w:rsidRDefault="00F01B8B" w:rsidP="00176D5F">
            <w:pPr>
              <w:spacing w:before="0"/>
              <w:rPr>
                <w:rFonts w:cs="Times New Roman"/>
              </w:rPr>
            </w:pPr>
            <w:r w:rsidRPr="00BA410A">
              <w:rPr>
                <w:rFonts w:cs="Times New Roman"/>
              </w:rPr>
              <w:t xml:space="preserve">Note that each teacher can incorporate up to five vendor assessments and </w:t>
            </w:r>
            <w:r>
              <w:rPr>
                <w:rFonts w:cs="Times New Roman"/>
              </w:rPr>
              <w:t>six</w:t>
            </w:r>
            <w:r w:rsidRPr="00BA410A">
              <w:rPr>
                <w:rFonts w:cs="Times New Roman"/>
              </w:rPr>
              <w:t xml:space="preserve"> LEA measures </w:t>
            </w:r>
            <w:r>
              <w:rPr>
                <w:rFonts w:cs="Times New Roman"/>
              </w:rPr>
              <w:t xml:space="preserve">(five SLOs and a shared attribution measure) </w:t>
            </w:r>
            <w:r w:rsidRPr="00BA410A">
              <w:rPr>
                <w:rFonts w:cs="Times New Roman"/>
              </w:rPr>
              <w:t>if those measures are available. So, a teacher who did not have value-added or vendor assessments available could submit up to five SLOs in the system.</w:t>
            </w:r>
          </w:p>
          <w:p w:rsidR="00F01B8B" w:rsidRPr="00BA410A" w:rsidRDefault="00F01B8B" w:rsidP="00176D5F">
            <w:pPr>
              <w:spacing w:before="0"/>
              <w:rPr>
                <w:rFonts w:cs="Times New Roman"/>
              </w:rPr>
            </w:pPr>
            <w:r w:rsidRPr="00BA410A">
              <w:rPr>
                <w:rFonts w:cs="Times New Roman"/>
              </w:rPr>
              <w:t>However, all measures within each of these three categories would be weighted equally in the system. For example, all five SLOs would receive the same weight.”</w:t>
            </w:r>
            <w:r>
              <w:rPr>
                <w:rFonts w:cs="Times New Roman"/>
              </w:rPr>
              <w:t xml:space="preserve"> </w:t>
            </w:r>
          </w:p>
        </w:tc>
        <w:tc>
          <w:tcPr>
            <w:tcW w:w="5130" w:type="dxa"/>
          </w:tcPr>
          <w:p w:rsidR="00F01B8B" w:rsidRPr="00BA410A" w:rsidRDefault="00F01B8B" w:rsidP="00794EFF">
            <w:pPr>
              <w:rPr>
                <w:rFonts w:cs="Times New Roman"/>
              </w:rPr>
            </w:pPr>
            <w:r w:rsidRPr="00420189">
              <w:rPr>
                <w:noProof/>
              </w:rPr>
              <w:t xml:space="preserve"> </w:t>
            </w:r>
            <w:r w:rsidRPr="00CB182B">
              <w:rPr>
                <w:rFonts w:cs="Times New Roman"/>
                <w:noProof/>
              </w:rPr>
              <w:drawing>
                <wp:inline distT="0" distB="0" distL="0" distR="0" wp14:anchorId="387466E1" wp14:editId="649B91B7">
                  <wp:extent cx="3251199" cy="24384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51653" cy="2438741"/>
                          </a:xfrm>
                          <a:prstGeom prst="rect">
                            <a:avLst/>
                          </a:prstGeom>
                        </pic:spPr>
                      </pic:pic>
                    </a:graphicData>
                  </a:graphic>
                </wp:inline>
              </w:drawing>
            </w:r>
          </w:p>
        </w:tc>
      </w:tr>
      <w:tr w:rsidR="00F01B8B" w:rsidRPr="00BA410A" w:rsidTr="00794EFF">
        <w:tc>
          <w:tcPr>
            <w:tcW w:w="5418" w:type="dxa"/>
          </w:tcPr>
          <w:p w:rsidR="00F01B8B" w:rsidRPr="00BA410A" w:rsidRDefault="00F01B8B" w:rsidP="00794EFF">
            <w:pPr>
              <w:rPr>
                <w:rFonts w:cs="Times New Roman"/>
                <w:b/>
                <w:color w:val="323E4F" w:themeColor="text2" w:themeShade="BF"/>
              </w:rPr>
            </w:pPr>
            <w:r w:rsidRPr="00BA410A">
              <w:rPr>
                <w:rFonts w:cs="Times New Roman"/>
                <w:b/>
                <w:color w:val="323E4F" w:themeColor="text2" w:themeShade="BF"/>
              </w:rPr>
              <w:t xml:space="preserve">Slide </w:t>
            </w:r>
            <w:r>
              <w:rPr>
                <w:rFonts w:cs="Times New Roman"/>
                <w:b/>
                <w:color w:val="323E4F" w:themeColor="text2" w:themeShade="BF"/>
              </w:rPr>
              <w:t>19</w:t>
            </w:r>
          </w:p>
          <w:p w:rsidR="00F01B8B" w:rsidRPr="00BA410A" w:rsidRDefault="00F01B8B" w:rsidP="00794EFF">
            <w:pPr>
              <w:rPr>
                <w:rFonts w:cs="Times New Roman"/>
              </w:rPr>
            </w:pPr>
            <w:r w:rsidRPr="00BA410A">
              <w:rPr>
                <w:rFonts w:cs="Times New Roman"/>
              </w:rPr>
              <w:t xml:space="preserve">The final student growth measure score will be calculated by the </w:t>
            </w:r>
            <w:proofErr w:type="spellStart"/>
            <w:r w:rsidRPr="00BA410A">
              <w:rPr>
                <w:rFonts w:cs="Times New Roman"/>
              </w:rPr>
              <w:t>eTPES</w:t>
            </w:r>
            <w:proofErr w:type="spellEnd"/>
            <w:r w:rsidRPr="00BA410A">
              <w:rPr>
                <w:rFonts w:cs="Times New Roman"/>
              </w:rPr>
              <w:t xml:space="preserve"> system. The calculation used to arrive at this score is still being finalized and will be approved by the student growth measures advisory committee soon. The final SGM score will be converted into a rating of Above, Expected, or Below. We know that this still leaves some ambiguity about how the final SGM score will be calculated, but there will be additional materials available online that detail th</w:t>
            </w:r>
            <w:r w:rsidR="00176D5F">
              <w:rPr>
                <w:rFonts w:cs="Times New Roman"/>
              </w:rPr>
              <w:t>is process once it is approved.</w:t>
            </w:r>
          </w:p>
          <w:p w:rsidR="00F01B8B" w:rsidRPr="00BA410A" w:rsidRDefault="00F01B8B" w:rsidP="00794EFF">
            <w:pPr>
              <w:rPr>
                <w:rFonts w:cs="Times New Roman"/>
              </w:rPr>
            </w:pPr>
          </w:p>
        </w:tc>
        <w:tc>
          <w:tcPr>
            <w:tcW w:w="5130" w:type="dxa"/>
          </w:tcPr>
          <w:p w:rsidR="00F01B8B" w:rsidRPr="00BA410A" w:rsidRDefault="00F01B8B" w:rsidP="00794EFF">
            <w:pPr>
              <w:rPr>
                <w:rFonts w:cs="Times New Roman"/>
              </w:rPr>
            </w:pPr>
            <w:r w:rsidRPr="00BA410A">
              <w:rPr>
                <w:rFonts w:cs="Times New Roman"/>
                <w:noProof/>
              </w:rPr>
              <w:drawing>
                <wp:inline distT="0" distB="0" distL="0" distR="0" wp14:anchorId="3F31FA5D" wp14:editId="7B5E964D">
                  <wp:extent cx="3143250" cy="2357549"/>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8715" cy="2376649"/>
                          </a:xfrm>
                          <a:prstGeom prst="rect">
                            <a:avLst/>
                          </a:prstGeom>
                          <a:noFill/>
                        </pic:spPr>
                      </pic:pic>
                    </a:graphicData>
                  </a:graphic>
                </wp:inline>
              </w:drawing>
            </w:r>
          </w:p>
        </w:tc>
      </w:tr>
    </w:tbl>
    <w:p w:rsidR="00F01B8B" w:rsidRPr="00DC2DEC" w:rsidRDefault="00F01B8B" w:rsidP="00F01B8B">
      <w:bookmarkStart w:id="0" w:name="_GoBack"/>
      <w:bookmarkEnd w:id="0"/>
    </w:p>
    <w:p w:rsidR="00F01B8B" w:rsidRPr="00F01B8B" w:rsidRDefault="00F01B8B" w:rsidP="00F01B8B">
      <w:pPr>
        <w:pStyle w:val="NoSpacing"/>
        <w:jc w:val="center"/>
        <w:rPr>
          <w:rFonts w:ascii="Times New Roman" w:hAnsi="Times New Roman" w:cs="Times New Roman"/>
          <w:b/>
          <w:bCs/>
          <w:color w:val="323E4F" w:themeColor="text2" w:themeShade="BF"/>
          <w:sz w:val="36"/>
          <w:szCs w:val="36"/>
        </w:rPr>
      </w:pPr>
    </w:p>
    <w:p w:rsidR="00997A39" w:rsidRDefault="00997A39"/>
    <w:sectPr w:rsidR="00997A39" w:rsidSect="00F01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B4E8F"/>
    <w:multiLevelType w:val="hybridMultilevel"/>
    <w:tmpl w:val="35EC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43B15"/>
    <w:multiLevelType w:val="hybridMultilevel"/>
    <w:tmpl w:val="B1DA951C"/>
    <w:lvl w:ilvl="0" w:tplc="63AC531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291246"/>
    <w:multiLevelType w:val="hybridMultilevel"/>
    <w:tmpl w:val="248C6AB6"/>
    <w:lvl w:ilvl="0" w:tplc="2BDCE6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AC0A82"/>
    <w:multiLevelType w:val="hybridMultilevel"/>
    <w:tmpl w:val="7592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33FEA"/>
    <w:multiLevelType w:val="hybridMultilevel"/>
    <w:tmpl w:val="7670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8B"/>
    <w:rsid w:val="00176D5F"/>
    <w:rsid w:val="00997A39"/>
    <w:rsid w:val="00F0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E7E4-13B5-4D73-9485-D7AA166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8B"/>
    <w:pPr>
      <w:spacing w:before="240"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B8B"/>
    <w:pPr>
      <w:spacing w:after="0" w:line="240" w:lineRule="auto"/>
    </w:pPr>
  </w:style>
  <w:style w:type="paragraph" w:styleId="ListParagraph">
    <w:name w:val="List Paragraph"/>
    <w:basedOn w:val="Normal"/>
    <w:uiPriority w:val="34"/>
    <w:qFormat/>
    <w:rsid w:val="00F01B8B"/>
    <w:pPr>
      <w:numPr>
        <w:numId w:val="1"/>
      </w:numPr>
      <w:spacing w:before="120"/>
    </w:pPr>
  </w:style>
  <w:style w:type="table" w:styleId="TableGrid">
    <w:name w:val="Table Grid"/>
    <w:basedOn w:val="TableNormal"/>
    <w:uiPriority w:val="59"/>
    <w:rsid w:val="00F0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2.sldx"/><Relationship Id="rId13" Type="http://schemas.openxmlformats.org/officeDocument/2006/relationships/package" Target="embeddings/Microsoft_PowerPoint_Slide4.sldx"/><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package" Target="embeddings/Microsoft_PowerPoint_Slide1.sldx"/><Relationship Id="rId11" Type="http://schemas.openxmlformats.org/officeDocument/2006/relationships/package" Target="embeddings/Microsoft_PowerPoint_Slide3.sldx"/><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4.emf"/><Relationship Id="rId19" Type="http://schemas.openxmlformats.org/officeDocument/2006/relationships/package" Target="embeddings/Microsoft_PowerPoint_Slide5.sld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2014-10-08T21:57:00Z</dcterms:created>
  <dcterms:modified xsi:type="dcterms:W3CDTF">2014-10-08T22:12:00Z</dcterms:modified>
</cp:coreProperties>
</file>